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«Страховая компания «Росгосстрах» обратилось в Арбитражный суд Челябинской области с иском о взыскании с публичного акционерного общества «Челябинский металлургический комбинат» 478 232 рублей 25 копеек ущерба в порядке суброгации и 31 134 рублей 23 копеек процентов за пользование чужими денежными средствами. Решением Арбитражного суда Челябинской области от 28.06.2019 иск удовлетворен. Постановлением Восемнадцатого арбитражного апелляционного суда от 26.09.2019 решение суда первой инстанции изменено: иск удовлетворен в части взыскания 478 232 рублей 25 копеек ущерба, в удовлетворении иска в остальной части отказано. Арбитражный суд Уральского округа постановлением от 29.01.2020 постановление суда апелляционной инстанции оставил без изменения. Публичное акционерное общество «Страховая компания «Росгосстрах» обратилось в Судебную коллегию по экономическим спорам Верховного Суда 2 Российской Федерации с кассационной жалобой на постановления суда апелляционной инстанции и окружного суда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исходили из доказанности факта наступления страхового случая и наличия у ответчика обязанности возместить убытки в порядке суброгации. Вместе с тем, суд апелляционной инстанции, руководствуясь положениями статьи 395 Гражданского кодекса Российской Федерации, пунктом 57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пришел к выводу о неправомерном начислении процентов за пользование чужими денежными средствами за период до вступления решения суда в законную силу.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«Страховая компания «Росгосстрах»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