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06.08.2019, оставленным без изменения постановлением Тринадцатого арбитражного апелляционного суда от 18.11.2019 и постановлением Арбитражного суда Северо-Западного округа от 13.02.2020, в удовлетворении заявления отказано. 2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и заявленное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администрацией (организатор торгов) 11.03.2019 на официальном сайте опубликовано извещение № 110319/3217918/01 о проведении конкурса по отбору управляющей организации для управления многоквартирными домами, которым в установленном законодательством о градостроительной деятельности порядке выдано разрешение на ввод в эксплуатацию. Рассмотрев жалобу общества на действия администрации при проведении конкурса, содержащую сведения о неправомерном отказе от проведения конкурса, а также несвоевременном размещении извещения о проведении конкурса на сайте, антимонопольным органом принято решение о признании жалобы обоснованной; в действиях администрации установлено нарушение требований части 13 статьи 161 Жилищного кодекса Российской Федерации (далее - Жилищный кодекс), отказ администрации от проведения конкурса по отбору управляющей организации признан правомерным. Не согласившись с решением управления в части отказа в удовлетворении жалобы на действия организатора торгов по отмене проведения конкурса, администрация обратилась в арбитражный суд. Отказывая в удовлетворении требования, судебные инстанции, оценив представленные в материалы дела доказательства, руководствуясь статьями 44, 161 Жилищного кодекса,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06.02.2006 № 75, пришли к выводу о том, что решение управления в оспариваемой части соответствует законодательству и не нарушает права и законные интересы заявителя. Суды установили, что 12.04.2019 до окончания конкурса в адрес администрации от ООО «Светлый мир «Управление недвижимостью» 3 поступили доказательства выбора собственниками помещений и лицами, принявшими от застройщика по передаточному акту помещения в МКД способа управления домом - управляющей компанией, в качестве управляющей организации выбрано ООО «Светлый мир «Управление недвижимостью», принято решение об утверждении условий договора управления МКД и его заключении с 11.04.2019. Доказательств, свидетельствующих об обжаловании указанных решений (протоколов) общего собрания обществом не представлено. Суды указали, что волеизъявление правообладателей помещений в МКД является преимущественным правом, при этом обязанность органов местного самоуправления по отбору управляющей организации играет восполнительную роль в случае, когда правообладатели не имеют намерений самостоятельно определять порядок управления. Доводы заявителя, изложенные в кассационной жалобе, являлись предметом рассмотрения судов трех инстанций и получили надлежащую правовую оценку. По существу доводы заявителя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права,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«Региональная управляющая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