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его требования в реестр требований кредиторов должника. Определением Арбитражного суда города Москвы от 04.10.2019 в третью очередь реестра требований кредиторов должника включено требование банка в размере 445 475 рублей 77 копеек, отказано в удовлетворении остальной части требований. Постановлением Девятого арбитражного апелляционного суда от 16.12.2019, оставленным без изменения постановлением Арбитражного суда Московского округа от 02.03.2020, отменено определение суда первой инстанции от 04.10.2019 в части отказа в удовлетворении требований, в третью очередь реестра требований кредиторов должника включены требования банка в размере 1 866 429 рублей 53 копеек, в том числе 1 849 507 рублей 36 копеек основного долга, 7 838 рублей 87 копеек процентов, как обеспеченные залогом следующего имущества: квартира, расположенная на 6 этаже, общей площадью 36,9 кв.м., расположенный по адресу: г. Москва, г. Зеленоград, корп. 2038, кв. 34, кадастровый/условный номер 77:10:0006008:6466.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в силе принятое по спору постановление суда апелляционной инстанции, суд округа, руководствуясь статьями 337, 351 Гражданского кодекса Российской Федерации, пунктами 20, 22.2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согласился с приведёнными в нём выводами о наличии оснований для включения документально подтверждённых требований в реестр ввиду установленного факта неисполнения поступившего в адрес основного заёмщика и залогодателя (должника) требования банка о досрочном исполнении обязательства по кредитному договору или предоставлении иного предмета залога.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Подгузовой Ольге Михайловне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