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акционерное общество «Мосотделстрой № 1» (далее – общество) и конкурсный управляющий должником обратились в суд с заявлением о разрешении разногласий, возникших при согласовании условий договора передачи имущества (имущественных прав) и обязательств застройщика по объекту, расположенному по адресу: г. Москва, ул. Новогиреевская, вл. 5, корп. 1 и 2 (кадастровый номер 77:03:0006017:1635) (далее – договор). Определением Арбитражного суда Московской области от 26.09.2019, оставленным без изменения постановлениями Десятого арбитражного апелляционного суда от 06.12.2019 и Арбитражного суда Московского округа от 10.03.2020, разногласия разрешены; утверждены условия названного договора в предложенной обществом редакции.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утверждении договора в предложенной ею редакции.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между сторонами разногласия,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201.10, 201.15-1 Федерального закона от 26.10.2002 № 127-ФЗ «О несостоятельности (банкротстве)», исходили из конкретных обстоятельств дела, необходимости соблюдения баланса интересов лиц и несоответствия предложенной заявителем редакции договора требованиям законодательства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«Глобинвестстрой» Пушновой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