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02.07.2019 исковые требования удовлетворены. Постановлением Девятого арбитражного апелляционного суда от 24.10.2019 решение суда первой инстанции отменено, в удовлетворении иска отказано. Арбитражный суд Московского округа постановлением от 12.02.2020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норм материального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и обществом заключен государственный контракт от 01.07.2014 № 313-ГК-2014 на выполнение работ по строительству объекта, цена которого является твердой и составляет 532 974 090 рублей. Генподрядчик, полагая, что весь объем работ по государственному контракту выполнен, акт по форме КС-11 подписан, работы оплачены заказчиком только на сумму 514 685 146 рублей 65 копеек, обратился в суд за взысканием задолженности в размере 18 288 943 рублей 35 копеек. Суд первой инстанции, установив, что согласно акту № 1 приемки законченного строительством объекта приемочной комиссией по форме КС-14 стоимость принимаемых основных фондов составляет 584 475 310 рублей 54 копеек, что превышает стоимость контракта, взыскал в пользу генподрядчика оплату работ в пределах твёрдой цены контракта.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702 , 720 , 753 , 763 Гражданского кодекса Российской Федерации, пришел к выводу об отсутствии задолженности по оплате выполненных работ со стороны заказчика, с чем согласился суд округа. При этом суд апелляционной инстанции исходил из того, что работы сданы генподрядчиком и приняты заказчиком на сумму 514 685 146 рублей 65 копеек, в связи с чем оснований для взыскания цены контракта, определенной как твердая цена, при не подтверждении факта выполнения работ на разницу между твердой ценой и стоимостью выполненных работ, не имеется. Обстоятельства данного спора и представленные доказательства были предметом рассмотрения и оценки судов.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«Петропавловск-Камчатский морской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"Петропавловск-Камчатский морской торговый порт" (подробнее) ОАО ПРОФСОЮЗНАЯ ОРГАНИЗАЦИЯ ДОКЕРОВ "ПЕТРОПАВЛОВСК-КАМЧАТСКИЙ МОРСКОЙ ТОРГОВЫЙ ПОРТ" (подробнее) Ответчики: ФКУ Дирекция государственного заказчика программ развития морского и речного транспорта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