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«Развитие»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открытого акционерного общества «Российские железные дороги» 6 317 183 рублей 10 копеек неосновательного обогащения, 226 441 рубля 60 копеек процентов за пользование чужими денежными средствами, признании незаконными действий ответчика по перегрузу прибывшего груза в период с 26.02.2018 по 30.09.2018 в адрес истца на станцию назначения Забайкальск, произведенному из вагонов Китайской Народной Республики в вагоны акционерного общества «Федеральная грузовая компания», с целью последующей выдачи груза грузополучателю. Решением Арбитражного суда Новосибирской области от 17.07.2019 в удовлетворении иска отказано. Постановлением Седьмого арбитражного апелляционного суда от 16.10.2019 решение суда первой инстанции оставлено без изменения. 2 Арбитражный суд Западно-Сибирского округа постановлением от 23.01.2020 указанные судебные акты оставил без изменения. Общество с ограниченной ответственностью «Развитие»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руководствовались статьями 395, 1102, 1109 Гражданского кодекса Российской Федерации, статьями 2, 21, 34 Федерального закона от 10.01.2003 № 18-ФЗ «Устав железнодорожного транспорта Российской Федерации», статьей 1 Федерального закона от 10.01.2003 № 17-ФЗ «О железнодорожном транспорте в Российской Федерации», статьями 3, 4, 5, 14, 26 Соглашения о международном железнодорожном грузовом сообщении от 01.11.1951, Правилами технической эксплуатации железных дорог Российской Федерации, утвержденными приказом Минтранса России от 21.12.2010 № 286, пунктами 5.2, 5.3 Положения о железнодорожной станции, утвержденного распоряжением ОАО «РЖД» от 31.05.2011 № 1186р, пунктами 1.1, 6.2, 6.7 Технологического процесса работы грузовой передаточной станции Забайкальск Забайкальской железной дороги – филиала ОАО «РЖД», утвержденного начальником дирекции 20.12.2016 (в редакции по состояния на 20.12.2018), пунктом 21 постановления Пленума Высшего Арбитражного Суда Российской Федерации от 06.10.2005 № 30 «О некоторых вопросах практики применения Федерального закона «Устав железнодорожного транспорта Российской Федерации» и исходили из отсутствия технической возможности осуществления выдачи груза непосредственно из вагонов, прибывших из КНР.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