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на указанные судебные акты АО «Новороссийский судоремонтный завод» обратилось с заявлением о зачете государственной пошлины, уплаченной по платежному поручению от 23.11.2018 № 3810, в счет уплаты государственной пошлины за подачу кассационной жалобы в Судебную коллегию Верховного Суда Российской Федерации. Согласно статьям 102 , 104 Арбитражного процессуального кодекса Российской Федерации основания и порядок уплаты,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По результатам рассмотрения заявления акционерного общества «Новороссийский судоремонтный завод» и представленных в его обоснование документов установлены основания для его удовлетворения и проведения зачета уплаченной государственной пошлины в сумме 3 000 рублей и возврата государственной пошлины в сумме 13 660 рублей. Руководствуясь статьями 102 , 104 , 184 и 185 Арбитражного процессуального кодекса Российской Федерации и статьями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акционерного общества «Новороссийский судоремонтный завод» о зачете государственной пошлины удовлетворить. Зачесть 3 000 рублей государственной пошлины, уплаченной по платежному поручению от 23.11.2018 № 3810 (в сумме 16 660 рублей), в счет уплаты государственной пошлины за рассмотрение кассационной жалобы на решение Арбитражного суда Краснодарского края от 05.06.2019 по делу № А32-14906/2019, постановление Пятнадцатого арбитражного апелляционного суда от 01.10.2019 и постановление Арбитражного суда Северо-Кавказского округа от 24.01.2020 по тому же делу. Возвратить акционерному обществу «Новороссийский судоремонтный завод» государственную пошлину в размере 13 660 (тринадцать тысяч шестьсот шестьдесят) рублей, уплаченную по платежному поручению от 23.11.2018 № 3810 в общей сумме 16 660 рублей. Судья Верховного Суда Российской Федерации Е.Н. Зарубина Суд: Верховный Суд РФ (подробнее) Истцы: ОАО "Российские железные дороги" (подробнее) ОАО Северо-Кавказский территориальный центр фирменного транспортного обслуживания "РЖД" (подробнее) Ответчики: АО "НОВОРОССИЙСКИЙ СУДОРЕМОНТНЫЙ ЗАВОД"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