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18.06.2019 в удовлетворении иска отказано. Постановлением Семнадцатого арбитражного апелляционного суда от 02.10.2019, оставленным без изменения постановлением Арбитражного суда Уральского округа от 21.01.2020, решение суда первой инстанции отменено, исковые требования удовлетворены.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апелляционного суда и суда округа, направить дело на новое рассмотрение в суд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между ООО «УСК «Техком» (субподрядчик) и предприятием (подрядчик) во исполнение государственного оборонного заказа с идентификатором № 1617187377122090942000000 заключен договор субподряда от 05.10.2016 № 388-ТК на сумму 10 964 000 рублей на выполнение работ по благоустройству объекта с разработкой и согласованием заказчиком проектно-сметной документации, из материалов субподрядчика. Между ООО «УСК «Техком» (цедент) и обществом (цессионарий) заключены договоры от 22.05.2017 № 01/05 и от 05.09.2017 № 02/06, по условиям которых цедент передал цессионарию права требования в части денежного долга (оплаты работ) по договору субподряда от 05.10.2016 № 388-ТК на сумму 2 839 000 рублей и на сумму 1 094 089 рублей соответственно. Общество уведомило должника о состоявшейся уступке. После уведомления о состоявшейся уступке права требования предприятие погасило задолженность в сумме 2 839 000 рублей, при этом задолженность в сумме 1 094 089 рублей должник признал в ходе рассмотрения Арбитражным судом Удмуртской Республики дела № А71-5189/2018, производство по которому прекращено определением суда от 26.07.2018 в связи с утверждением мирового соглашения. Антимонопольный орган обратился в арбитражный суд с исковым заявлением о признании указанных договоров цессии недействительными как нарушающими прямой запрет, установленный пунктом 12 статьи 8.4 Федерального закона от 29.12.2012 № 275-ФЗ «О государственном оборонном заказе» (далее - Закон № 275-ФЗ). Отказывая в удовлетворении требований, суд первой инстанции,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пунктом 7 статьи 448 Гражданского кодекса Российской Федерации, пришел к выводу, что оспариваемые договоры уступки прав требований (цессии) соответствуют требованиям гражданского законодательства, поскольку субподрядчиком уступлено право требования по денежному обязательству, личность кредитора в котором не имеет существенного значения для должника. Отменяя решение суда первой инстанции и удовлетворяя исковые требования, суд апелляционной инстанции указал, что нормы Закона № 275-ФЗ в части особенностей правого регулирования в области заключения и исполнения контрактов при размещении государственного оборонного заказа являются специальными по отношению к общим нормам в сфере закупок товаров, работ и услуг для государственных и муниципальных нужд. В соответствии с пунктом 7 статьи 7 Закона № 275-ФЗ государственный заказчик использует для расчетов по государственному контракту только отдельный счет, открытый в уполномоченном банке головному исполнителю, с которым у государственного заказчика заключен государственный контракт, при наличии у такого головного исполнителя договора о банковском сопровождении, заключенного с уполномоченным банком. При этом в силу пункта 10 статьи 3 Закона № 275-ФЗ отдельным счетом является счет, открытый головному исполнителю, исполнителю в уполномоченном банке для осуществления расчетов по государственному оборонному заказу в соответствии с условиями государственного контракта. По отдельному счету не допускается совершение операций по исполнению договора об уступке (переуступке) права требования (пункт 12 статьи 8.4 Закона № 275-ФЗ). На основании вышеизложенного, апелляционный суд пришел к выводу, что спорные договоры противоречат положениям законодательства о государственном оборонном заказе, содержащим императивный запрет на совершение операций по исполнению договора об уступке (переуступке) права требования по отдельному счету, открытому для осуществления расчетов по государственному оборонному заказу в соответствии с условиями государственного контракта, с чем согласился суд округа. При этом судом апелляционной инстанции принято во внимание, что обществом не был открыт отдельный счет в банке для осуществления расчетов по договору уступки права требования. Доводы, изложенные в кассационной жалобе, в том числе о том, что спорные работы производились не в рамках гособоронзаказа, являлись предметом рассмотрения судов апелляционной инстанции и округа и не опровергают их выводы. Кроме того, доводы жалобы не подтверждают существенных нарушений норм права, повлиявших на исход дела, направлены на переоценку установленных обстоятельств и основаны на ином толковании норм права, в связи с чем не могут служить достаточным основанием для пересмотра судебных актов в кассационном порядке. С учетом изложенного,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«КТ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Федеральной антимонопольной службы по Свердловской области (подробнее) Ответчики: ООО КТ ИНЖИНИРИНГ (подробнее) ООО "УРАЛЬСКАЯ СТРОИТЕЛЬНАЯ КОМПАНИЯ "ТЕХКОМ"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