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27.04.2018, оставленным без изменения постановлением Восемнадцатого арбитражного апелляционного суда от 30.08.2018, в части требований о взыскании убытков в размере 594 235 руб. 02 коп. производство по делу прекращено в связи с отказом от требований в указанной части, в удовлетворении остальной части требований отказано. Постановлением суда округа от 13.02.2019 указанные судебные акты отменены, дело направлено на новое рассмотрение в суд первой инстанции. В кассационной жалобе заявитель, ссылаясь на нарушение судом округа норм процессуального права, просит отменить судебный акт и оставить в силе решение суда первой инстанции и постановление суда апелляционной инстанции. По смыслу части 1 статьи 291.1 , части 7 статьи 291.6 ,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Указанных оснований по результатам изучения судебных актов, принятых по делу, и доводов кассационной жалобы заявителя не установлено. Отменяя принятые по настоящему делу решение суда первой инстанции и постановление суда апелляционной инстанции, суд округа указал на неполное выяснение судами обстоятельств, имеющих существенное значение для правильного разрешения дела. Судом округа указано на необходимость при новом рассмотрении дела установить обстоятельства, имеющие значение для правильного разрешения настоящего спора, дать надлежащую правовую оценку доводам и доказательствам, представленным лицами, участвующими в деле. Обжалуемое постановление принято в пределах полномочий, определенных в статье 287 АПК РФ . При этом заявитель не лишен возможности изложить свои доводы при новом рассмотрении дела в суде первой инстанции. Существенных нарушений норм материального и (или) процессуального права, повлиявших на исход дела, судом округа не допущено.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«СЦ МетОптТрейдинг»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О.В. Киселева Суд: Верховный Суд РФ (подробнее) Истцы: АО "Сигнал" (подробнее) Ответчики: ООО "СЦ МетОптТрейдинг" (подробнее) Иные лица: НАО ПРОИЗВОДСТВЕННОЕ КОММЕРЧЕСКОЕ ПРЕДПРИЯТИЕ "РОСТЕХКОМ" (подробнее) ООО "ЗАВОД АЛЮМИНИЕВЫХ ПРОФИЛЕЙ "РЕАЛИТ" (подробнее) Последние документы по делу: Определение от 21 мая 2020 г. по делу № А76-38465/2017 Определение от 24 мая 2019 г. по делу № А76-38465/2017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