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26.07.2019, оставленным без изменения постановлениями Девятого арбитражного апелляционного суда от 15.10.2019 и Арбитражного суда Московского округа от 04.02.2020, в удовлетворении первоначального иска отказано. Встречный иск удовлетворен частично, с учреждения в пользу общества взыскано 3 629 068 рублей 49 копеек задолженности, 123 580 рублей расходов по оплате государственной пошлины, 177 910 рублей судебных издержек. В удовлетворении остальной части встречного иска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суды, руководствуясь положениями статей 328 , 330 , 401 , 711 , 716 , 718 , 753 Гражданского кодекса Российской Федерации, с учетом выводов эксперта при проведении судебной строительной экспертизы объема фактически выполненных обществом работ, признали частично обоснованными требования общества о взыскании задолженности, отказав в удовлетворении требования учреждения о взыскании штрафа. Отказывая в удовлетворении требования о привлечении общества к гражданско-правовой ответственности в виде штрафа, судебные инстанции исходили из того, что ответчик не имел возможности выполнить обязательства по контракту в установленные сроки по вине заказчика, который не предпринял действий по приведению проектно-сметной документации в соответствии с фактическими видами и составом работ, порученных по контракту. При этом, частично удовлетворяя встречный иск, суды установили, что обществом выполнены работы по контракту только на сумму 45 529 503 рубля 58 копеек, акты о приемке выполненных работ по форме КС-2 и справки о стоимости выполненных работ по форме КС-3 направлены учреждению, мотивированного отказа от подписания актов не поступало, частичная оплата выполненных работ произведена на сумму 25 359 869 рублей 89 копеек. Обстоятельства данного спора и представленные доказательства были предметом рассмотрения и оценки судов. Доводы кассационной жалобы, в том числе о том, что судами не принято во внимание отсутствие в материалах дела акта о приемке выполненных работ, при проведении судебной экспертизы экспертами не дан анализ актам о приемке выполненных работ, представленным истцом и третьим лицом, суд апелляционной инстанции неправомерно отказал в назначении дополнительной судебной экспертизы, являлись предметом рассмотрения судов и получили надлежащую правовую оценку. По существу доводы направлены на переоценку установленных по делу обстоятельств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«Дирекция по эксплуатации спортивных зданий и сооружений» Департамента спорта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ГОРОДА МОСКВЫ "ДИРЕКЦИЯ ПО ЭКСПЛУАТАЦИИ СПОРТИВНЫХ ЗДАНИЙ И СООРУЖЕНИЙ" ДЕПАРТАМЕНТА СПОРТА И ТУРИЗМА ГОРОДА МОСКВЫ (подробнее) Ответчики: ООО ЭКОНОМСТРОЙ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