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29.07.2019, оставленным без изменения постановлением Девятого арбитражного апелляционного суда от 23.10.2019 и постановлением Арбитражного суда Московского округа от 28.01.2020, в удовлетворении заявления о процессуальном правопреемстве и замене истца отказано. В кассационной жалобе общество «Промжби» просит об отмене судебных актов, ссылаясь на совершение уступки в отношении договора поставки, на который не распространяются запреты, установленные законодательством о государственном оборонном заказе.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нераспространении законодательства о государственном оборонном заказе на договор в редакции до заключения дополнительного соглашения от 11.03.2016 № 1 правомерно отклонен, поскольку уступка совершена после заключения соглашения.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«Промжби»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"ПРОМЖБИ" (подробнее) ООО Промышленно-строительные железобетонные изделия (подробнее) Ответчики: ФГУП "ГУ СДА при Спецстрое России" (подробнее) Иные лица: ФГУП "ГВСУ №7"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