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мая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22.07.2019, оставленным без изменения постановлением Девятого арбитражного апелляционного суда от 01.11.2019 и постановлением Арбитражного суда Московского округа от 24.01.2020, иск удовлетворен. В кассационной жалобе общество «Ледванс» просит о пересмотре судебных актов, указывая на неправомерное возложение на него обязательств продавца, непривлечение к участию в деле изготовителя товара, неустановление надлежащей эксплуатации изделий, нарушение порядка рассмотрения заявления о фальсификации доказательств.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Принятие обществом «Ледванс» гарантийного обязательства в отношении спорных изделий установлено судами на основании соглашения о гарантийных обязательствах и обстоятельств его исполнения обществом в виде замены части некачественного товара, что учтено судом при проверке заявления о фальсификации соглашения. В связи с признанием факта брака производителем товара оснований для исследования обстоятельств его эксплуатации истцом не имелось. Руководствуясь статьями 291.6 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«Агро-Инвест»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ООО "Агро-Инвест" (подробнее) Ответчики: АО "ЛЕДВАНС" (подробнее) Судьи дела: Ксенофонтова Н.А.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