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07.08.2019, оставленным без изменения постановлением Шестого арбитражного апелляционного суда от 10.10.2019, в удовлетворении заявления отказано. Арбитражный суд Дальневосточного округа постановлением от 20.01.2020 решение от 07.08.2019 и постановление Шестого арбитражного апелляционного суда от 10.10.2019 оставил без изменения. В кассационной жалобе общество просит об отмене судебных актов, ссылаясь на неверную правовую квалификацию спорных договоров.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в соответствии с правомочиями, основанными на статье 431 Гражданского кодекс Российской Федерации, признали, что заключенные обществом гражданско-правовые договоры по правовой природе являются трудовыми договорами, вследствие чего производимые по ним выплаты составляют базу для исчисления страховых взносов на обязательное социальное страхование. Оснований для вмешательства в компетенцию суда на толкование договора на стадии кассационного производства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«Комсомолка»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"Комсомолка" (подробнее) Ответчики: ГУ Хабаровское региональное отделение Фонда социального страхования Российской Федерации (подробнее) ГУ Хабаровское региональное отделение Фонда Социального Страхования Российской Федерации филиал №11 (подробнее) ГУ Хабаровское РО Фонда социального страхования РФ Филиал №11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