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25.06.2019, оставленным без изменения постановлением Девятого арбитражного апелляционного суда от 26.09.2019, иск удовлетворен. Арбитражный суд Московского округа постановлением от 20.01.2020 решение от 25.06.2019 и постановление Девятого арбитражного апелляционного суда от 26.09.2019 оставил без изменения. В кассационной жалобе банк просит об отмене судебных актов, ссылаясь на представление требования о платеже по истечении срока действия гарантии.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кассационной жалобы не усматривается. Оснований для толкования понятия «представление требования» как получение требования до окончания срока действия гарантии исходя из установленного судами содержания гарантии не имелось. Суды правомерно указали, что направление требования в последний день срока действия гарантии применительно к ее условиям и статье 194 Гражданского кодекса Российской Федерации являлось надлежащим и не позволяло банку отказать в платеже.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«Акционерный коммерческий банк «Держава»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Министерство труда и социальной защиты Тульской области (подробнее) Ответчики: ПАО "АКЦИОНЕРНЫЙ КОММЕРЧЕСКИЙ БАНК "ДЕРЖАВА" "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