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конкурный управляющий Колосков Константин Анатольевич обратился в суд с заявлением об истребовании у управляющей организации должника – компании документации должника. Определением Арбитражного суда города Санкт-Петербурга и Ленинградской области от 20.08.2019, оставленным без изменения постановлениями Тринадцатого арбитражного апелляционного суда от 18.11.2019 и Арбитражного суда Северо-Западного округа от 17.02.2020, заявление удовлетворено. В кассационной жалобе, поданной в Верховный Суд Российской Федерации, заявитель просит отменить указанные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руководствовались статьями 126, 129 Федерального закона от 26.10.2002 № 127-ФЗ «О несостоятельности (банкротстве)», пунктом 47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 и исходили из того, что после увольнения руководителя должника заявитель, будучи его единственным участником с полномочиями коллегиального исполнительного органа, не выполнил своей обязанности по передаче документации должника его управляющему, а также по истребованию либо восстановлению документации, отражающей сведения по дебиторской задолженности, финансово- экономической деятельности и бухгалтерской отчётности, в связи с чем удовлетворили заявление.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«Группа компаний «Роуд Сити Билдинг»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