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03.09.2019, оставленным без изменения постановлением Семнадцатого арбитражного апелляционного суда от 30.10.2019, в удовлетворении заявленных требований отказано. Постановлением Арбитражного суда Уральского округа от 04.02.2020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Суды пришли к выводу о недоказанности административным органом состава вмененного правонарушения, ответственность за совершение которого предусмотрена частью 2 статьи 14.57 Кодекса Российской Федерации об административных правонарушениях, в связи с чем, отказали в привлечении к административной ответственности. Несогласие административного органа с указанными выводами судов не может быть признано основанием для пересмотра обжалуемых судебных актов в кассационном порядке,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судебных приставов (подробнее) Управление Федеральной службы судебных приставов по Пермскому краю (подробнее) Ответчики: ООО "Эос"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