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Пермского края от 21.09.2017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Пермского края от 13.08.2019, оставленным без изменения постановлениями Семнадцатого арбитражного апелляционного суда от 19.11.2019 и Арбитражного суда Уральского округа от 20.02.2020, процедура реализации имущества должника завершена, ФИО1 не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Исходя из доводов кассационной жалобы заявитель не согласен с судебными актами в части неприменения правил об освобождении от обязательств перед кредиторами.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суды руководствовались положениями пунктов 3 и 4 статьи 213.28 Федерального закона от 26.10.2002 № 127-ФЗ «О несостоятельности (банкротстве)»,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недобросовестного поведения и неправомерных действий заявителя, выразившихся в предоставлении банку недостоверных сведений при оформлении кредитного договора и принятии на себя заведомо неисполнимых обязательств без намерений их выполнения.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Пермский "РОССЕЛЬХОЗБАНК" (подробнее) Иные лица: Ассоциация СРО АУ "Лига" (подробнее) МФ Ассоциации "КМ СРО АУ "Единство" (подробнее) Росреестр по ПК (подробнее) Территориальное управление Министерства социального развития Пермского края по городу Перми (подробнее) Территориальное управление Министерства социального развития Пермского края по Краснокамскому и Нытвенскому муниципальным районам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