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25.07.2019, оставленным без изменения постановлением Пятнадцатого арбитражного апелляционного суда от 02.10.2019 и постановлением Арбитражного суда Северо-Кавказского округа от 28.01.2020, в иске отказано. В кассационной жалобе общество просит о пересмотре судебных актов, ссылаясь на противоречие договора контрактному законодательству и наличие у него признака недопустимого дарения.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доводы заявителя об обстоятельствах заключения оспариваемого договора и не признали их создающими необходимые в силу статей 166 , 168 Гражданского кодекса Российской Федерации условия для признания его недействительным. Доводы кассационной жалобы не опровергают законности судебных актов и не составляют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«Интербио»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"ИнтерБио" (подробнее) Ответчики: ГКУ "Главное управление строительства Краснодарского края" (подробнее) Судьи дела: Ксенофонтова Н.А.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