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«Арсеналъ» обратилось в Арбитражный суд города Москвы с иском о взыскании с общества с ограниченной ответственностью Страховая Компания «ВТБ Страхование» 584 338 рублей 13 копеек неосновательного обогащения, а также 20 000 рублей судебных расходов. К участию в деле в качестве третьего лица, не заявляющего самостоятельных требований относительно предмета спора, привлечено Министерство внутренних дел Российской Федерации. Решением Арбитражного суда города Москвы от 22.02.2019 иск удовлетворен. Постановлением Девятого арбитражного апелляционного суда от 28.08.2019 решение суда первой инстанции отменено и в удовлетворении иска отказано. Арбитражный суд Московского округа постановлением от 10.02.2020 постановление суда апелляционной инстанции оставил без изменения. Общество с ограниченной ответственностью Страховая Компания «Арсеналъ»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Отменяя решение суда первой инстанции и отказывая в удовлетворении иска, суд апелляционной инстанции руководствовался положениями статей 421 , 422 , 431 , 1102 Гражданского кодекса Российской Федерации, Федерального закона от 28.03.1998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(с учетом изменений, внесенных Федеральным законом от 02.07.2013 № 165-ФЗ) и исходил из того, что по страховым случаям, полное формирование фактического состава которых было завершено в 2016 году, лицом, обязанным осуществить страховую выплату, являлся истец.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с учетом установленных фактических обстоятельств настоящего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"Страховая компания "Арсеналъ" (подробнее) Ответчики: ООО Страховая компания "ВТБ Страхование"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