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«Промстройресурс» (далее – общество) обратилось в суд с заявлением о включении в реестр требований кредиторов должника его требований в размере 199 554 705 рублей 31 копейки. Определением Арбитражного суда города Москвы от 28.08.2019, оставленным без изменения постановлениями Девятого арбитражного апелляционного суда от 13.11.2019 и Арбитражного суда Московского округа от 03.02.2020,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363, 506, 516, 807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35«О некоторых процессуальных вопросах, связанных с рассмотрением дел о банкротстве», исходили из доказанности факта возникновения на стороне должника как поручителя и единственного участника организации (заёмщика, покупателя) обязательств перед обществом, и, как следствие, оснований для включения обоснованных и документально подтверждённых требований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Язеву Валерию Афонасьевичу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