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01.08.2019 возвращен встречный иск агентства о признании сделок недействительными. Решением Арбитражного суда города Москвы от 08.08.2019 иск удовлетворен. Постановлением Девятого арбитражного апелляционного суда от 16.10.2019 и постановлением Арбитражного суда Московского округа от 22.01.2020 определение и решение оставлены без изменения. В кассационной жалобе агентство просит судебные акты отменить, ссылаясь на рассмотрение измененного в незаконных пределах иска, необоснованное возвращение встречного иска,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Правовая квалификация иска осуществляется судом исходя из фактических обстоятельств спора независимо от определения ее истцом. Фактические обстоятельства дела при изменении правового основания для взыскания спорной суммы с займа на неосновательное обогащение с производными от него процентами (статья 1107 Гражданского кодекса Российской Федерации) остались прежними и состоят в обязании агентства возвратить денежные средства. Судами правомерно применен общий срок исковой давности к требованию о возврате денежных средств, получение которых подтверждено конкретными платежными документами. Возвращение встречного иска не создает оснований для кассационного пересмотра судебных актов, поскольку не препятствует его самостоятельному предъявлению.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«Национальное долговое агентство»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"РУБЛЕВ" (подробнее) ООО "Техстрой" (подробнее) Ответчики: ООО "Национальное долговое агентство" (подробнее) Иные лица: Управление Федеральной налоговой службы по г. Москве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