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15.04.2019, оставленным без изменения постановлением Третьего арбитражного апелляционного суда от 20.09.2019, в удовлетворении иска отказано в связи с отсутствием нарушения обязательства. Арбитражный суд Восточно-Сибирского округа постановлением от 31.01.2020 решение от 15.04.2019 и постановление Третьего арбитражного апелляционного суда от 20.09.2019 оставил без изменения. В кассационной жалобе общество «Центр Сварки» просит об отмене судебных актов, ссылаясь на нарушения в виде отсутствия контроля за перечислением денежных средств в иностранной валюте и неидентификации получателя.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исследовав и оценив представленные доказательства, признали отсутствие нарушения банком обязательств, возникающих из договора банковского счета. Суды установили, что банк провел идентификацию платежей по указанным клиентом реквизитам в соответствии с нормативными актами Банка России и внутренними правилами. При отсутствии нарушения договора как необходимого в силу статей 15 , 393 Гражданского кодекса Российской Федерации условия во взыскании убытков правомерно отказано.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«Центр Сварки»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"Центр Сварки" (подробнее) Ответчики: ПАО "Сбербанк России" (подробнее) Судьи дела: Ксенофонтова Н.А.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