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обоснованным и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постановление Семнадцатого арбитражного апелляционного суда от 24.12.2019 и постановление Арбитражного суда Уральского округа от 02.03.2020 по делу № А50-27084/2017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