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14.06.2019 в редакции определения от 14.06.2019, оставленным без изменения постановлением Восемнадцатого арбитражного апелляционного суда от 06.09.2019, первоначальный иск удовлетворен на сумму 167 245 рублей 18 копеек задолженности, встречный – в заявленном объеме. Арбитражный суд Уральского округа постановлением от 24.12.2019 решение от 14.06.2019 и постановление Восемнадцатого арбитражного апелляционного суда от 06.09.2019 оставил без изменения. В кассационной жалобе предприниматель просит об отмене судебных актов, ссылаясь на неверное толкование условий договора поручения в отношении размера вознаграждения и несоответствия выводов судов о заключении договоров страхования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размер невыплаченного поверенному (предпринимателю) вознаграждения в соответствии с условиями договора поручения от 10.08.2016 № 7093901, доказательствами его исполнения и статьями 971 , 973 , 974 Гражданского кодекса Российской Федерации. Вопросы толкования условий договора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ПАО Страховое "Ресо-Гарантия" (подробнее) Иные лица: МИФНС №2 по РБ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