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кассационной жалобой, ходатайствуя о восстановлении пропущенного срока её подачи. Рассмотрев ходатайство о восстановлении процессуального срока, суд находит его подлежащим удовлетворению. Руководствуясь статьями 117, 184,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срок подачи кассационной жалобы на постановление Арбитражного суда Московского округа от 10.12.2019 по делу № А40-114805/2015 восстановить. Судья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