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23.07.2019, оставленным без изменения постановлением Четвертого арбитражного апелляционного суда от 23.10.2019, в удовлетворении иска отказано. Арбитражный суд Восточно-Сибирского округа постановлением от 28.01.2020 решение от 23.07.2019 и постановление Четвертого арбитражного апелляционного суда от 23.10.2019 оставил без изменения. В кассационных жалобах заявители просят об отмене судебных актов, ссылаясь на неверное толкование условий страхования и отсутствие законных оснований для освобождения страховщика от выплаты страхового возмещения.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 Утрата (хищение) застрахованных транспортных средств вследствие необеспечения страхователем безопасности территории их хранения установлена судами на основании представленных доказательств. Установив, что возникновение убытков в обстоятельствах необеспечения безопасности застрахованного имущества не попадает под согласованную сторонами характеристику страхового случая, суды признали наступившие убытки не подлежащими возмещению за счет страхования в соответствии с условиями страхования и статьями 421, 942, 943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«Симба» и акционерному обществу «Российский Сельскохозяйственный банк»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