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07.03.2019 иск удовлетворен. Девятый арбитражный апелляционный суд постановлением от 27.08.2019 отменил решение от 07.03.2019 и отказал в удовлетворении иска. Арбитражный суд Московского округа постановлением от 20.01.2020 постановление Девятого арбитражного апелляционного суда от 27.08.2020 оставил без изменения. В кассационной жалобе общество «Страховая компания «Арсеналъ» просит об отмене постановлений апелляционного и окружного судов вследствие нарушения в применении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Контракт от 12.09.2016 № 31/29ГК заключен после изменения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 и должен соответствовать этому Закону в соответствующей периоду заключения контракта редакции. Страховая выплата в связи с возникшим в рамках контракта от 12.09.2016 № 31/29ГК страховым случаем произведена обществом «Страховая компания «Арсеналъ» в соответствии с названным Законом и контрактом и не может быть переложена на другое лицо.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