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Островская Е.И. обратилась в суд с возражениями на отказ конкурсного управляющего должником Гордиенко Захара Андреевича во включении её требований в реестр требований о передаче жилых помещений – однокомнатных квартир в строящемся многоквартирном доме № 1 в Кировском районе города Новосибирска, улица Зорге, 229/1: № 97 общей площадью квартиры 27,63 кв. м, расположенной на 9 этаже; № 128 общей площадью квартиры 30,11 кв. м, расположенной на 11 этаже, № 169 общей площадью квартиры 41,06 кв. м, расположенной на 14 этаже, № 202 общей площадью квартиры 30,27 кв. м, расположенной на 17 этаже, № 221 общей площадью квартиры 41,06 кв. м, расположенной на 18 этаже (далее – квартиры). Определением Арбитражного суда Новосибирской области от 20.08.2019, оставленным без изменения постановлениями Седьмого арбитражного апелляционного суда от 11.10.2019 и Арбитражного суда Западно-Сибирского округа от 20.01.2020,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201.1, 201.6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обоснованности отклонения конкурсным управляющим требований заявителя по мотивам недоказанности ею исполнения обязательств перед должником по оплате квартир, а также наличия финансовой возможности внесения соответствующей суммы денежных средств в кассу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Островской Евгении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