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кассационной жалобой, одновременно ходатайствуя о восстановлении пропущенного срока её подачи. Рассмотрев ходатайство о восстановлении процессуального срока, суд находит его обоснованным и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срок подачи кассационной жалобы на определение Арбитражного суда Свердловской области от 19.08.2019, постановление Семнадцатого арбитражного апелляционного суда от 14.11.2019 и постановление Арбитражного суда Уральского округа от 07.02.2020 по делу № А60-28985/2017 восстановить. Судья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