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10.09.2019, оставленным без изменения постановлениями Девятого арбитражного апелляционного суда от 25.11.2019 и Арбитражного суда Московского округа от 11.02.2020, завершена процедура реализации имущества в отношении должника, применены правила об освобождении должника от дальнейшего исполнения требований кредиторов. Установлены проценты по вознаграждению финансового управляющего ФИО3 в размере 617 563 рублей 24 копеек, в пользу которого с депозитного счёта Арбитражного суда города Москвы перечислены денежные средства в размере 25 000 рублей. В кассационной жалобе, поданной в Верховный Суд Российской Федерации, заявитель просит отменить указанные судебные акты в части установления процентов по вознаграждению финансового управляющего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353 Гражданского кодекса Российской Федерации, статьями 20.6, 213.26, 213.27 Федерального закона от 26.10.2002 № 127-ФЗ «О несостоятельности (банкротстве)», пунктом 19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того, что реализованная на торгах квартира являлась совместным имуществом должника и его супруги, выступающей созалогодателем (должником по обеспечительному обязательству) и несущей наряду с ним бремя понесенных в связи с продажей предмета залога расходов, в связи с чем установили размер процентов по вознаграждению финансового управляющего в установленном законом пределе.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№27 по г. Москве (подробнее) ОАО "Сбербанк России" (подробнее) ПАО Банк ВТБ (подробнее) Иные лица: Ассоциации "СОАУ "Меркурий" (подробнее) Ассоциация "СОАУ" "МЕРКУРИЙ" (подробнее) ИФНС27 по г.Москве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