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включении в реестр требований кредиторов должника его требований, основанных на договоре займа от 24.04.2018. Определением Арбитражного суда города Москвы от 05.08.2019 требования в размере 1 500 000 рублей основного долга, 3 388 767 рублей 12 копеек процентов включены в третью очередь реестра; 1 500 000 рублей штрафных санкций включены в третью очередь отдельно, подлежащей погашению после погашения требований кредиторов третьей очереди, как обязательства, обеспеченные залогом имущества должника, а именно: квартирой, назначение жилое, общей площадью 44,8 кв. м, расположенная по адресу: &lt;...&gt;, кадастровый номер 77:05:0008003:7158. В остальной части в удовлетворении заявленных требований отказано. Постановлением Девятого арбитражного апелляционного суд от 23.10.2019, оставленным без изменения постановлением Арбитражного суда Московского округа от 23.01.2020, вышеуказанное определение изменено; снижен размер процентов до 192 184 рублей 93 копеек и штрафных санкций до 172 520 рублей 55 копеек. В остальной части определение суда первой инстанции от 05.08.2019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снижения процентов и штрафных санкций, определение суда первой инстанции оставить в силе либо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Изменяя принятое по делу определение в обжалуемой части, апелляционный суд, руководствуясь статьями 10 , 333 , 807 , 809 Гражданского кодекса Российской Федерации, пунктами 74, 75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пунктом 5 Обзора судебной практики Верховного Суда Российской Федерации № 1 (2019) (утверждённого Президиумом Верховного Суда Российской Федерации 24.04.2019) исходил из фактических обстоятельств, учитывал компенсационную природу процентов за пользование займом и неустойки, чрезмерно высокий размер начисленных должнику сумм, многократно превышающих величину обычно взимаемых в подобных случаях штрафных санкций, не соответствующих последствиям неисполнения должником заёмного обязательства и являющихся обременительными, в связи с чем снизил размер заявленных сумм до разумных пределов в целях обеспечения баланса интересов сторон.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ГБУ г. Москвы "Жилищник района Чертаново Южное" (подробнее) ПАО "Совкомбанк" (подробнее) Иные лица: ПАО "Сбербанк России" (подробнее) Стратегия (подробнее) Чертановский отдел ЗАГС Управления ЗАГС Москвы (подробнее) Судьи дела: Корнелюк Е.С. (судья) (подробнее) Судебная практика по: Злоупотребление правом Судебная практика по применению нормы ст. 10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