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05.09.2019, постановление Девятого арбитражного апелляционного суда от 27.11.2019 и постановление Арбитражного суда Московского округа от 18.02.2020 по делу № А40-56312/2017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