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Емелин Евгений Анатольевич обратился в суд с заявлением к обществу о признании заключенных с последним девяти соглашений об уступке прав требований недействительными сделками; применении последствий недействительности сделок. Определением Арбитражного суда Пензенской области от 31.07.2019, оставленным без изменения постановлениями Одиннадцатого арбитражного апелляционного суда от 31.10.2019 и Арбитражного суда Поволжского округа от 24.01.2020, заявление удовлетворено частично. Признано недействительной сделкой соглашение об уступке права требования от 30.09.2016 № 4, заключенное между должником и обществом, применены последствия недействительности сделки.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удовлетворённой части требований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 в оспариваемой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61.6, 61.9 Федерального закона от 26.10.2002 № 127-ФЗ «О несостоятельности (банкротстве)», пунктами 11, 12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недействительной оспариваемой сделки, совершенной за пределами обычной хозяйственной деятельности и повлекшей за собой получение заявителем большего предпочтения по сравнению с иными кредиторами, при этом правомерно применив последствия её недействительности и отклонив возражения о пропуске конкурсным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«Промэлектромонтаж – СТН»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