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14.05.2020 обратилось в Верховный Суд Российской Федерации с кассационной жалобой,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Московского округа от 13.02.2020, на момент обращения заявителя в Верховный Суд Российской Федерации двухмесячный срок, установленный статьей 291.2 АПК РФ ,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обществу срок, установленный частью 1 статьи 291.2 АПК РФ .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«Арт Фэктори Групп Продакшен»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СудаРоссийской Федерации М.К. Антонова Суд: Верховный Суд РФ (подробнее) Истцы: АДМИНИСТРАЦИЯ КОЛОМЕНСКОГО ГОРОДСКОГО ОКРУГА МОСКОВСКОЙ ОБЛАСТИ (подробнее) Ответчики: ООО "АРТ ФЭКТОРИ ГРУПП ПРОДАКШЕН" (подробнее) Иные лица: Орехово-Зуевский РОСП УФССП России по Московской области (подробнее) Судебный пристав-исполнитель Орехово-Зуевского РОСП УФССП России по Московской области Булычева Виктория Сергеевна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