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имущества – трёхкомнатной квартиры, общей площадью 59 кв.м., расположенной по адресу: г. Москва, ул. Пестеля, д. 4в, кв. 97. Определением Арбитражного суда города Москвы от 04.10.2019 в удовлетворении заявления отказано. Постановлением Девятого арбитражного апелляционного суда от 02.12.2019, оставленным без изменения постановлением Арбитражного суда Московского округа от 21.02.2020,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в апелляционный суд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 руководствовался статьёй 446 Гражданского процессуального кодекса Российской Федерации, статьёй 213.25 Федерального закона от 26.10.2002 № 127-ФЗ «О несостоятельности (банкротстве), постановлением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массе в делах о банкротстве граждан», и исходил из того, что несмотря на неправомерное отчуждение должником квартиры по безвозмездной сделке, последний не снимался с регистрационного учёта, постоянно в ней проживал и не лишал себя права пользования единственным пригодным для проживания жильём, что не позволяло обратить на неё взыскание по требованиям кредиторов в силу исполнительского иммунитета. Суд округа согласился с выводами апелляционного суда. Выводы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управляющего имуществом Орлова Михаила Константиновича Лукину Анатолию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