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11.06.2019, оставленным без изменения постановлением Девятого арбитражного апелляционного суда от 11.09.2019, исковые требования удовлетворены. Арбитражный суд Московского округа постановлением от 23.12.2019 решение от 11.06.2019 и постановление Девятого арбитражного апелляционного суда от 11.09.2019 оставил без изменения. В кассационной жалобе банк просит об отмене судебных актов, ссылаясь на неприложение к требованию о платеже необходимого по условиям гарантии расчета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требование о платеже по банковской гарантии от 14.09.2018 № 156610 предъявлено в пределах срока действия гарантии и с приложением документов в том числе определяющих заявленные к платежу суммы неустойки и штрафа, что в силу статей 375 и 376 Гражданского кодекса Российской Федерации не позволяло банку отказать в совершении платежа.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КАЗЕННОЕ УЧРЕЖДЕНИЕ "ГЛАВНЫЙ КЛИНИЧЕСКИЙ ВОЕННЫЙ ГОСПИТАЛЬ" (подробнее) Ответчики: ПАО Акционерный коммерческий банк "Абсолют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