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24.05.2019, оставленным без изменения постановлением Шестого арбитражного апелляционного суда от 22.07.2019, исковые требования удовлетворены в части взыскания 24 251 рубля компенсационной выплаты, 8 000 рублей расходов на экспертизу, 2 000 рублей расходов на изготовление дубликата экспертизы, 5 707 рублей 93 копеек расходов на услуги представителя, 432 рублей 93 копеек почтовых расходов. Арбитражный суд Дальневосточного округа постановлением от 23.12.2019 решение от 24.05.2019 и постановление Шестого арбитражного апелляционного суда от 22.07.2019 оставил без изменения. В кассационной жалобе Российский союз автостраховщиков просит об отмене судебных актов, ссылаясь на удовлетворение иска к ненадлежащему ответчику.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Лицо, ответственное за убытки после утраты страховщиком ответственности потерпевшего лицензии, определено судами исходя из сложившейся в спорный период судебной практики применения пункта 9 статьи 14.1 Федерального закона Федеральный закон от 25.04.2002 № 40-ФЗ (ред. от 03.07.2016 № 36-ФЗ) «Об обязательном страховании гражданской ответственности владельцев транспортных средств» и необходимости защиты в названной ситуации прав потерпевшей стороны.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ГАВРИЛОВ ДЕНИС АЛЕКСЕЕВИЧ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