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мая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заявитель обратился в Верховный Суд Российской Федерации с кассационной жалобой, одновременно ходатайствуя о восстановлении пропущенного срока её подачи. Рассмотрев ходатайство о восстановлении процессуального срока, суд находит его обоснованным и подлежащим удовлетворению. Руководствуясь статьями 117, 184, 291.2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срок подачи кассационной жалобы на постановление Восемнадцатого арбитражного апелляционного суда от 12.11.2019 и постановление Арбитражного суда Уральского округа от 30.01.2020 по делу № А07-314/2019 восстановить. Судья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