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23.07.2019, оставленным без изменения постановлением Четвертого арбитражного апелляционного суда от 23.10.2019, в удовлетворении иска отказано. Арбитражный суд Восточно-Сибирского округа постановлением от 28.01.2020 решение от 23.07.2019 и постановление Четвертого арбитражного апелляционного суда от 23.10.2019 оставил без изменения. В кассационных жалобах заявители просят об отмене судебных актов, ссылаясь на неверное толкование условий страхования и отсутствие законных оснований для освобождения страховщика от выплаты страхового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 Утрата (хищение) застрахованных транспортных средств вследствие необеспечения страхователем безопасности территории их хранения установлена судами на основании представленных доказательств. Установив, что возникновение убытков в обстоятельствах необеспечения безопасности застрахованного имущества не попадает под согласованную сторонами характеристику страхового случая, суды признали наступившие убытки не подлежащими возмещению за счет страхования в соответствии с условиями страхования и статьями 421 , 942 , 943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«Симба» и акционерному обществу «Российский Сельскохозяйственный банк»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"Симба" (подробнее) Ответчики: ОАО "АльфаСтрахование"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