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05.08.2019, оставленным без изменения постановлением Пятого арбитражного апелляционного суда от 18.10.2019, иск удовлетворен в заявленном размере. Арбитражный суд Дальневосточного округа постановлением от 04.02.2020 решение от 05.08.2019 и постановление Пятого арбитражного апелляционного суда от 18.10.2019 оставил без изменения. В кассационной жалобе компания просит об отмене судебных актов, ссылаясь на принятие судами ненадлежащих доказательств, неустановление причинно-следственной связи между её действиями и повреждением груза.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кассационной жалобы не усматривается. Обстоятельства возникновения убытков и наличие условий, необходимых в силу статей 15 , 393 Гражданского кодекса Российской Федерации для взыскания их с компании, установлены судами. Вопросы доказывания и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«Восточная стивидорная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"Страховая компания "ПАРИ" (подробнее) Ответчики: ООО "Восточная Стивидорная Компания" (подробнее) Иные лица: Находкинский городской суд Приморского края (подробнее) ОАО "Страховое общество газовой промышленности"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