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27.05.2019 иск удовлетворен. Девятый арбитражный апелляционный суд постановлением от 09.09.2019 отменил решение от 27.05.2019 и отказал в удовлетворении иска. Арбитражный суд Московского округа постановлением от 22.01.2020, постановление Девятого арбитражного апелляционного суда от 09.09.2019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нарушения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 в соответствующей периоду заключения контракта редакции. Страховая выплата в связи с возникшим в рамках контракта от 12.09.2016 № 31/29ГК страховым случаем произведена обществом «Страховая компания «Арсеналъ» в соответствии с названным Законом и условиями контракта и не может быть переложена на другое лицо.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