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14.05.2020 обратилось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В обоснование ходатайства заявитель ссылается на отсутствие возможности подать кассационную жалобу в связи с распространением короновирусной инфекции.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13.03.2020, на момент обращения заявителя в Верховный Суд Российской Федерации двухмесячный срок, установленный статьей 291.2 АПК РФ ,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Черноморо-Азовского морского управления Федеральной службы по надзору в сфере природопользования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ПКФ "Братья" (подробнее) ООО Производственно-коммерческая фирма "Братья" (подробнее) Ответчики: Черноморо-Азовское морское управление Федеральной службы по надзору в сфере природопользования (подробнее) Судьи дела: Антонова М.К. (судья) (подробнее) Последние документы по делу: Определение от 26 июня 2020 г. по делу № А53-22858/2018 Определение от 20 мая 2020 г. по делу № А53-22858/2018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