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являющаяся участником общества с ограниченной ответственностью «Галлея-Свет» (далее – Общество) обратилась в Арбитражный суд города Москвы с иском к ФИО1 о взыскании 2 820 000 рублей убытков. К участию в деле в качестве третьих лиц, не заявляющих самостоятельных требований относительно предмета спора, привлечены ФИО3 и Общество. Решением Арбитражного суда города Москвы от 19.07.2019, оставленным без изменения постановлением Девятого арбитражного апелляционного суда от 25.11.2019 и постановлением Арбитражного суда Московского округа от 10.02.2020,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процессуального права. В обоснование доводов жалобы заявитель указывает, что судами в рамках рассмотрения настоящего спора не были приняты во внимание обстоятельства, установленные при рассмотрении дел № А40-130391/2016 и 2-6047/2015.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ФИО2 в обоснование заявленных требований ссылалась на то, что ФИО1, будучи на период 2017-2018 годов единоличным исполнительным органом Общества, осуществил в пользу ФИО3 платежи на общую сумму в размере 2 820 000 рублей, указав в качестве основания договор цессии от 15.03.2015 № 1, заключенный между ФИО3 и ООО «РесурсТрейд».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удовлетворили заявленные требования, придя к выводу о наличии необходимой совокупности условий для привлечения ФИО1 к гражданско-правовой ответственности в виде возмещения убытков, исходя при этом из того, что решением Кузьминского районного суда города Москвы от 18.012016 по делу № 2-210/2016 (2-6047/2015) ФИО3 было отказано в иске к Обществу по причине отсутствия в деле доказательств выполненных работ ООО «РесурсТрейд»; совершенные денежные переводы направлены на извлечение прибыли и личное обогащение ответчика за счет средств Общества, где ФИО1 незаконно занимал должность директора.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Иные лица: Архивно-информационный отдел государственного комитета Республики Башкортостан по делам юстиции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