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31.07.2019, оставленным без изменения постановлением Тринадцатого арбитражного апелляционного суда от 03.10.2019 и постановлением Арбитражного суда Северо-Западного округа от 23.01.2020, иск удовлетворен частично, с ответчика в пользу учреждения взыскано неосновательное обогащение в сумме 2 673 987 рублей. В остальной части в удовлетворении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между учреждением (заказчик) и обществом (подрядчик) заключен муниципальный контракт от 23.12.2014 № 2014-92 на выполнение работ по строительству нового корпуса муниципального автономного образовательного учреждения - детского сада № 86. В соответствии с пунктом 4.1 контракта в редакции дополнительного соглашения от 25.01.2016 № 6 стоимость работ согласована сторонами в размере 124 326 959 рублей 92 копеек. Выполненные работы приняты заказчиком и оплачены в сумме 124 326 960 рублей 04 копеек, разрешение на ввод объекта в эксплуатацию получено 18.12.2015. В период с 24.03.2016 по 03.06.2016 контрольно-ревизионным управлением администрации проведена проверка целевого использования бюджетных средств, выделенных на строительство объекта по контракту, составлен акт от 03.06.2016, согласно которому установлено, что работы по строительству приняты с завышением стоимости на сумму 4 634 656 рублей, в связи с чем подрядчику направлено требование о возврате 2 983 939 рублей. При этом из суммы, указанной в акте от 03.06.2016, исключена стоимость работ, которые не были приняты по актам о приемке выполненных работ и устранены обществом. Неисполнение обществом требования о возврате излишней оплаты в добровольном порядке послужило основанием для обращения учреждения в арбитражный суд. Оценив представленные в материалы дела доказательства, в том числе заключение строительно-технической экспертизы, суды первой и апелляционной инстанций, руководствуясь статьей 1102 Гражданского кодекса Российской Федерации, пришли к выводу о наличии правовых оснований для частичного удовлетворения требования и взыскали с ответчика 2 673 987 рублей неосновательного обогащения. Суды, удовлетворяя требование, исходили из завышенной стоимости, которая составляет 2 223 174 рубля и не включает стоимость работ, проверить исполнение которых невозможно. Требование истца по эпизоду с посудомоечными машинами на сумму 450 813 рублей удовлетворено, исходя из установленных судами обстоятельств поставки шести бытовых посудомоечных машин меньшей стоимостью. Отклоняя доводы ответчика, суды отметили, что установка профессиональных посудомоечных машин сметной стоимостью в размере 97 114 рублей была предусмотрена проектной документацией, прошедшей государственную экспертизу. Суд округа поддержал выводы судов первой и апелляционной инстанций. Доводы жалобы являлись предметом рассмотрения судов и им дана надлежащая правовая оценка. Приведенные доводы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по фактическим обстоятельствам спора и направлены на их переоценку,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«Запад-Строй»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МКУ "Управление капитального строительства" ГО "Город Калининград" (подробнее) Ответчики: ООО "Запад-Строй" (подробнее) Иные лица: Контрольно-ревизионное Управление администрации городского округа "Город Калининград" (подробнее) Кудрявцева Н.А. ФБУ Калининградская ЛСЭ Минюста России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