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21.10.2019, оставленным без изменения постановлениями Девятого арбитражного апелляционного суда от 12.12.2019 и Арбитражного суда Московского округа от 20.02.2020, в удовлетворении заявленных требований отказано. В жалобе управление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общества о нарушениях законодательства Российской Федерации о контрактной системе в сфере закупок в действиях аукционной комиссии управления при проведении электронного аукциона «Мясо кур, в том числе цыплят (включая цыплят-бройлеров). Замороженное», ФАС России принято решение. Антимонопольным органом в действиях управления (заказчик) выявлено нарушение требований пункта 2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в действиях аукционной комиссии нарушение части 5 статьи 67 Закона о контрактной систем. Выдано предписание об устранении нарушений законодательства Российской Федерации о контрактной системе в сфере закупок. Считая ненормативные акты антимонопольного органа незаконными, управление обратилось в арбитражный суд. Отказывая в удовлетворении заявленных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8, 64, 66, 67, 99 Закона о контрактной системе, пришли к выводу о том, что оспариваемое решение и выданное на его основании предписание соответствуют положениям действующего законодательства и не нарушают прав и законных интересов заявителя. При этом судебные инстанции исходили из того, что аукционной комиссией неправомерно принято решение об отказе в допуске общества к участию в аукционе, поскольку в документации об аукционе заказчиком не установлено требований по заполнению первой и второй частей заявки на участие в аукционе. Суды установили, что положения аукционной документации управления не содержат четких требований по заполнению заявок на участие в аукционе, не позволяют точно определить, в каком пункте и в каком разделе документации установлены показатели товара, которые определяют потребности заявителя. 3 Приведенные заявителем доводы не подтверждают существенных нарушений судами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а направлены на переоценку доказательств и установленных судами фактических обстоятельств спора, что в силу статьи 291.6 Арбитражного процессуального кодекса в полномочия Судебной коллегии Верховного Суда Российской Федерации не входит.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