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09.07.2019, оставленным без изменения постановлениями Восьмого арбитражного апелляционного суда от 04.10.2019 и Арбитражного суда Западно-Сибирского округа от 04.02.2020, в удовлетворении иска отказано. В кассационной жалобе, поданной в Верховный Суд Российской Федерации, отдел ставит вопрос об отмене принятых по делу судебных актов, ссылаясь на существенное нарушение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Оценив представленные в материалы дела доказательства, суды, руководствуясь положениями статей 307 , 421 , 506 , 516 , 779 , 781 , 1102 Гражданского кодекса Российской Федерации, постановлением Правительства Российской Федерации от 11.04.2005 № 205 «О минимальных нормах питания и материально-бытового обеспечения осужденных к лишению свободы, а также о нормах питания и материально-бытового обеспечения подозреваемых и обвиняемых в совершении преступлений, находящихся в следственных изоляторах Федеральной службы исполнения наказаний, в изоляторах временного содержания подозреваемых и обвиняемых органов внутренних дел Российской Федерации и пограничных органов федеральной службы безопасности, лиц, подвергнутых административному аресту, задержанных лиц в территориальных органах Министерства внутренних дел Российской Федерации на мирное время», приложением № 5 приказа МВД России от 19.10.2012 № 966 «Об установлении повышенных норм питания, рациона питания и норм замены одних продуктов питания другими, применяемых при организации питания подозреваемых и обвиняемых в совершении преступлений, находящихся в изоляторах временного содержания подозреваемых и обвиняемых ОВД РФ», пришли к выводу об отсутствии оснований для удовлетворения исковых требований. Судебные инстанции исходили из необоснованности и недоказанности обстоятельств, свидетельствующих о возникновении на стороне ответчика неосновательного обогащения за счет отдела в спорной сумме, при этом указали, что услуги оказывались предпринимателем по инициативе, с ведома и одобрения истца в рамках контрактов, от исполнения которых отдел не отказывался. Суды отметили, что отсутствие возражений со стороны истца в период исполнения контрактов свидетельствует об одобрении действий ответчика, а последующее противоречивое поведение стороны в гражданском обороте не дает ей права на судебную защиту, поскольку подпадает под действие принципа эстоппеля (estoppel) и положений части 4 статьи 1 , статьи 10 Гражданского кодекса Российской Федерации. Кроме того, суды установили, что истцом не представлено надлежащих доказательств того, что готовые блюда имели недовес рыбы, мяса или заменяющих их продуктов, замена рыбы и мяса иными продуктами не соответствовала предусмотренным действующим законодательством нормам и свидетельствовала об удешевлении ежедневной цены в день на человека, предусмотренной контрактами, фактическая рецептура и состав всех блюд не содержали в составе соответствующую ежедневную норму мяса, рыбы или заменяющих их продуктов; у истца при той степени заботливости и осмотрительности отсутствовала возможность контроля состава всех блюд; расчет, отраженный в акте проверки, сделан только по вторым блюдам без учета первых блюд, салатов и кулинарных изделий, рецептура которых не устанавливалась. Обстоятельства данного спора и представленные доказательства были предметом рассмотрения и оценки судов. Доводы, изложенные в кассационной жалобе, являлись предметом рассмотрения судов и получили надлежащую правовую оценку с учетом условий государственных контрактов и положений гражданского законодательства. По существу доводы жалобы направлены на несогласие с выводами судов и переоценку установленных фактических обстоятельств по делу,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межмуниципальному отделу Министерства внутренних дел Российской Федерации «Ханты-Мансийский»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Восьмой арбитражный апелляционный суд (подробнее) Межмуниципальный Отдел Министерства внутренних дел Российской Федерации "Ханты-Мансийский" (подробнее) Иные лица: ГУ МВД России по Новосибирской области (подробнее) Министерство внутренних дел Российской Федерации (подробнее) Судьи дела: Антонова М.К. (судья) (подробнее) Судебная практика по: Злоупотребление правом Судебная практика по применению нормы ст. 10 ГК РФ Неосновательное обогащение, взыскание неосновательного обогащения Судебная практика по применению нормы ст. 1102 ГК РФ По договору поставки Судебная практика по применению норм ст. 506, 507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