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Карабанова Наталья Алексеевна обратилась в суд с заявлением о включении в реестр требований кредиторов должника её требования в размере 4 020 175 рублей 90 копеек как обеспеченного залогом имущества должника. Определением Арбитражного суда Тверской области от 20.08.2019, оставленным без изменения постановлениями Четырнадцатого арбитражного апелляционного суда от 23.10.2019 и Арбитражного суда Северо-Западного округа от 28.01.2020,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16, 71, 134, 138,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исходя из факта неисполнения должником обязанности по передаче нежилого помещения при доказанности оплаты участником долевого строительства Карабановой Н.А. стоимости объекта, финансовой возможности внесения соответствующей суммы денежных средств и регистрации в установленном порядке договора долевого участия в строительстве, пришли к выводам об обоснованности и наличии оснований для включения требования созалогодержателя в реестр требований кредиторов должника.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Крючковой Анастасии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