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«Сварочное оборудование, материалы и работы»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публичного акционерного общества «Совкомбанк» 21 122 915 рублей 96 копеек убытков и 1 548 628 рублей 02 копеек процентов за пользование займом. К участию в деле в качестве третьих лиц, не заявляющих самостоятельных требований относительно предмета спора, привлечены – Государственное унитарное предприятие города Москвы «Московский ордена Ленина и ордена Трудового Красного Знамени метрополитен имени В.И. Ленина», акционерное общество «Электронные торговые системы», Департамент города Москвы по конкурентной политике. Решением Арбитражного суда города Москвы от 05.08.2019 в удовлетворении иска отказано. Постановлением Девятого арбитражного апелляционного суда от 19.11.2019 решение суда первой инстанции изменено, иск удовлетворен в части взыскания 21 122 915 рублей 96 копеек убытков, в удовлетворении иска в остальной части иска отказано. Арбитражный суд Московского округа постановлением от 13.03.2020 постановление суда апелляционной инстанции отменил и оставил в силе решение суда первой инстанции. Общество с ограниченной ответственностью «Сварочное оборудование, материалы и работы»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Поскольку постановление Девятого арбитражного апелляционного суда от 19.11.2019 отменено постановлением окружного суда, жалоба в указанной части беспредметна и не подлежит рассмотрению. Кассационная жалоба на судебные акты суда первой инстанции и окружного суда подана в порядке, предусмотренном статьями 291.1 - 291.3 Арбитражного процессуального кодекса Российской Федерации, и подлежит рассмотрению в порядке кассационного производства в соответствии со статьями 291.1-291.15 Кодекса.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Гражданского кодекса Российской Федерации, статьей 96 Федерального закона от 05.04.2013 № 44-ФЗ «О контрактной системе в сфере закупок товаров, работ, услуг для обеспечения государственных и муниципальных нужд», разъяснениями Верховного Суда Российской Федерации, изложенными в пункте 12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 первой инстанций пришел к выводу о недоказанности наличия причинной связи между действиями (бездействием) ответчика и возникновением у истца заявленных убытков, учитывая, что обязанность по представлению надлежащего обеспечения исполнения государственного контракта лежит именно на победителе конкурентной процедуры, который, действуя добросовестно и разумно, не мог не знать об условиях представляемой гарантии и должен был проверить, соответствуют ли такие условия требованиям аукционной документации и положениям Федерального закона от 05.04.2013 № 44-ФЗ.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«Сварочное оборудование, материалы и работы»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"СВАРОЧНОЕ ОБОРУДОВАНИЕ, МАТЕРИАЛЫ И РАБОТЫ" (подробнее) Ответчики: ПАО "Совкомбанк"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