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распределения обнаруженного имущества ликвидированного должника общество обратилось в суд заявлением об удовлетворении требования в размере 1 158 269 рублей 04 копеек, в том числе 1 055 000 рублей суммы займа и 103 269 рублей 04 копеек процентов по договорам займа от 10.06.2014 № 29/Z и от 01.10.2014 № 30/Z. Определением Арбитражного суда Нижегородской области от 24.07.2019, оставленным без изменения постановлениями Первого арбитражного апелляционного суда от 08.10.2019 и Арбитражного суда Волго-Вятского округа от 28.01.2020, в удовлетворении заявленного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64, 195, 196, 200 Гражданского кодекса Российской Федерации, пунктом 15 постановление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признали истекшим срок исковой давности по заявленному требованию, в том числе невозможным применение к нему норм гражданского законодательства о приостановлении течения данного срока, в связи с чем отказали в удовлетворении заявления.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«Платформа Софт»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