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«Агентство по работе с проблемными активами» обратилось в суд с заявлением о правопреемстве кредитора – общества с ограниченной ответственностью «Дальневосточная транспортная группа – Финанс» на него в связи с заключением договора уступки права (требования) от 24.06.2019 б/н. Определением Арбитражного суда Хабаровского края от 13.08.2019, оставленным без изменения постановлениями Шестого арбитражного апелляционного суда от 12.11.2019 и Арбитражного суда Дальневосточного округа от 24.01.2020,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статьёй 48 Арбитражного процессуального кодекса Российской Федерации, статьями, 382, 384, 388 Гражданского кодекса Российской Федерации, абзацем вторым пункта 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дела о банкротстве» и исходили из действительности договора цессии, что повлекло правопреемство в материальном правоотношении и послужило основанием для осуществления процессуальной замены кредитора на его правопреемника. Правопреемство в отношении размера задолженности, установленного судебным актом, не приводит к изменению баланса интересов кредиторов.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